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8915AB">
        <w:rPr>
          <w:snapToGrid/>
          <w:color w:val="000000" w:themeColor="text1"/>
          <w:sz w:val="24"/>
          <w:szCs w:val="24"/>
        </w:rPr>
        <w:t>02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915AB">
        <w:rPr>
          <w:snapToGrid/>
          <w:color w:val="000000" w:themeColor="text1"/>
          <w:sz w:val="24"/>
          <w:szCs w:val="24"/>
        </w:rPr>
        <w:t>10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8639F8" w:rsidRPr="008639F8">
        <w:rPr>
          <w:color w:val="000000" w:themeColor="text1"/>
          <w:sz w:val="32"/>
          <w:szCs w:val="32"/>
        </w:rPr>
        <w:t xml:space="preserve">капитального ремонта </w:t>
      </w:r>
      <w:r w:rsidR="008915AB" w:rsidRPr="008915AB">
        <w:rPr>
          <w:color w:val="000000" w:themeColor="text1"/>
          <w:sz w:val="32"/>
          <w:szCs w:val="32"/>
        </w:rPr>
        <w:t xml:space="preserve">вентиляционной системы на КНС-2. </w:t>
      </w:r>
      <w:proofErr w:type="spellStart"/>
      <w:r w:rsidR="008915AB" w:rsidRPr="008915AB">
        <w:rPr>
          <w:color w:val="000000" w:themeColor="text1"/>
          <w:sz w:val="32"/>
          <w:szCs w:val="32"/>
        </w:rPr>
        <w:t>Бесхоз</w:t>
      </w:r>
      <w:proofErr w:type="spellEnd"/>
      <w:r w:rsidR="008915AB" w:rsidRPr="008915AB">
        <w:rPr>
          <w:color w:val="000000" w:themeColor="text1"/>
          <w:sz w:val="32"/>
          <w:szCs w:val="32"/>
        </w:rPr>
        <w:t>, г. Самара ул. Нефтяников (Стадионная)</w:t>
      </w:r>
      <w:r w:rsidR="004D3E60" w:rsidRPr="004D3E60">
        <w:rPr>
          <w:color w:val="000000" w:themeColor="text1"/>
          <w:sz w:val="32"/>
          <w:szCs w:val="32"/>
        </w:rPr>
        <w:t xml:space="preserve">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D2EC5">
        <w:rPr>
          <w:b/>
          <w:color w:val="000000" w:themeColor="text1"/>
          <w:sz w:val="32"/>
          <w:szCs w:val="32"/>
        </w:rPr>
        <w:t>8</w:t>
      </w:r>
      <w:r w:rsidR="008915AB">
        <w:rPr>
          <w:b/>
          <w:color w:val="000000" w:themeColor="text1"/>
          <w:sz w:val="32"/>
          <w:szCs w:val="32"/>
        </w:rPr>
        <w:t>94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8639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8915AB" w:rsidRPr="008915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вентиляционной системы на КНС-2. </w:t>
            </w:r>
            <w:proofErr w:type="spellStart"/>
            <w:r w:rsidR="008915AB" w:rsidRPr="008915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Бесхоз</w:t>
            </w:r>
            <w:proofErr w:type="spellEnd"/>
            <w:r w:rsidR="008915AB" w:rsidRPr="008915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, г. Самара ул. Нефтяников (Стадионная)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8915AB">
              <w:rPr>
                <w:b/>
                <w:sz w:val="20"/>
                <w:szCs w:val="20"/>
              </w:rPr>
              <w:t>469 680,71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15AB">
      <w:rPr>
        <w:noProof/>
      </w:rPr>
      <w:t>4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5AB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2C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769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BDF06-2C3E-4B9E-88BF-8B4883DC3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15</Pages>
  <Words>4726</Words>
  <Characters>32036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36689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370</cp:revision>
  <cp:lastPrinted>2019-02-04T06:44:00Z</cp:lastPrinted>
  <dcterms:created xsi:type="dcterms:W3CDTF">2019-02-07T06:22:00Z</dcterms:created>
  <dcterms:modified xsi:type="dcterms:W3CDTF">2023-09-29T07:24:00Z</dcterms:modified>
</cp:coreProperties>
</file>